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1"/>
        </w:numPr>
        <w:spacing w:line="240" w:lineRule="auto"/>
        <w:ind w:left="720" w:hanging="36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Enchantment Regained</w:t>
      </w:r>
    </w:p>
    <w:p w:rsidR="00000000" w:rsidDel="00000000" w:rsidP="00000000" w:rsidRDefault="00000000" w:rsidRPr="00000000" w14:paraId="00000002">
      <w:pPr>
        <w:widowControl w:val="0"/>
        <w:numPr>
          <w:ilvl w:val="0"/>
          <w:numId w:val="1"/>
        </w:numPr>
        <w:spacing w:line="240" w:lineRule="auto"/>
        <w:ind w:left="720" w:hanging="36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Schedule</w:t>
      </w:r>
    </w:p>
    <w:p w:rsidR="00000000" w:rsidDel="00000000" w:rsidP="00000000" w:rsidRDefault="00000000" w:rsidRPr="00000000" w14:paraId="00000003">
      <w:pPr>
        <w:widowControl w:val="0"/>
        <w:spacing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Day 1: </w:t>
      </w:r>
    </w:p>
    <w:p w:rsidR="00000000" w:rsidDel="00000000" w:rsidP="00000000" w:rsidRDefault="00000000" w:rsidRPr="00000000" w14:paraId="00000006">
      <w:pPr>
        <w:rPr/>
      </w:pPr>
      <w:r w:rsidDel="00000000" w:rsidR="00000000" w:rsidRPr="00000000">
        <w:rPr>
          <w:rtl w:val="0"/>
        </w:rPr>
        <w:t xml:space="preserve">We will settle into our space and time together with an exploration of downtown Santa Fe and the rich and complicated history it offers. We will also learn a little about one another, reflect on what has brought us together for this experience, and articulate what we aim to get from the experience.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Day 2: </w:t>
      </w:r>
    </w:p>
    <w:p w:rsidR="00000000" w:rsidDel="00000000" w:rsidP="00000000" w:rsidRDefault="00000000" w:rsidRPr="00000000" w14:paraId="00000009">
      <w:pPr>
        <w:rPr/>
      </w:pPr>
      <w:r w:rsidDel="00000000" w:rsidR="00000000" w:rsidRPr="00000000">
        <w:rPr>
          <w:rtl w:val="0"/>
        </w:rPr>
        <w:t xml:space="preserve">We’ll take an excursion to Acoma Pueblo or the ancestral Tewa Pueblo at Bandelier National Monument. Along the way, we will spend time identifying our leadership strengths and blind spots, including recent high and low points, self-care and support systems, and anger and resentments that we may need to shed to start anew.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Day 3:  </w:t>
      </w:r>
    </w:p>
    <w:p w:rsidR="00000000" w:rsidDel="00000000" w:rsidP="00000000" w:rsidRDefault="00000000" w:rsidRPr="00000000" w14:paraId="0000000C">
      <w:pPr>
        <w:rPr/>
      </w:pPr>
      <w:r w:rsidDel="00000000" w:rsidR="00000000" w:rsidRPr="00000000">
        <w:rPr>
          <w:rtl w:val="0"/>
        </w:rPr>
        <w:t xml:space="preserve">Depending on the preferences of participants, we will explore the natural beauty of Northern New Mexico as a platform for exploring the intersection of our personal and professional lives, identifying our dimensions of leadership, and exploring the habits, mindsets, and skills that participants will need to cultivate to meet today’s times and moments.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Day 4:  </w:t>
      </w:r>
    </w:p>
    <w:p w:rsidR="00000000" w:rsidDel="00000000" w:rsidP="00000000" w:rsidRDefault="00000000" w:rsidRPr="00000000" w14:paraId="0000000F">
      <w:pPr>
        <w:rPr>
          <w:rFonts w:ascii="Garamond" w:cs="Garamond" w:eastAsia="Garamond" w:hAnsi="Garamond"/>
          <w:b w:val="1"/>
          <w:sz w:val="28"/>
          <w:szCs w:val="28"/>
        </w:rPr>
      </w:pPr>
      <w:r w:rsidDel="00000000" w:rsidR="00000000" w:rsidRPr="00000000">
        <w:rPr>
          <w:rtl w:val="0"/>
        </w:rPr>
        <w:t xml:space="preserve">Before we depart, we will identify our fears about ourselves and the world and the gifts and contributions we bring to our communities. Through this process, we will set some goals for our work this coming school year.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